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B681A" w14:textId="05207B61" w:rsidR="00047509" w:rsidRDefault="00047509" w:rsidP="001D39EE">
      <w:pPr>
        <w:pStyle w:val="Normal1"/>
        <w:spacing w:before="120" w:after="120"/>
        <w:jc w:val="left"/>
        <w:rPr>
          <w:rFonts w:ascii="Montserrat" w:hAnsi="Montserrat"/>
          <w:b/>
          <w:bCs/>
          <w:color w:val="27344C"/>
          <w:sz w:val="22"/>
          <w:szCs w:val="22"/>
          <w:lang w:eastAsia="en-GB"/>
        </w:rPr>
      </w:pPr>
      <w:r w:rsidRPr="006A689B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>Anexa 2</w:t>
      </w:r>
      <w:r w:rsidR="00EF34ED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>0</w:t>
      </w:r>
      <w:r w:rsidRPr="006A689B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>_Domenii de activitate excluse de la finanțare</w:t>
      </w:r>
    </w:p>
    <w:p w14:paraId="4A29E39F" w14:textId="70D6198F" w:rsidR="00E4094D" w:rsidRPr="00E4094D" w:rsidRDefault="00E4094D" w:rsidP="001D39EE">
      <w:pPr>
        <w:spacing w:before="120" w:after="120" w:line="240" w:lineRule="auto"/>
        <w:rPr>
          <w:rFonts w:ascii="Montserrat" w:hAnsi="Montserrat" w:cs="Arial"/>
          <w:b/>
          <w:color w:val="28344C"/>
          <w:sz w:val="22"/>
          <w:szCs w:val="22"/>
          <w:lang w:val="ro-RO"/>
        </w:rPr>
      </w:pPr>
      <w:r>
        <w:rPr>
          <w:rFonts w:ascii="Montserrat" w:hAnsi="Montserrat" w:cs="Arial"/>
          <w:b/>
          <w:color w:val="28344C"/>
          <w:sz w:val="22"/>
          <w:szCs w:val="22"/>
          <w:lang w:val="ro-RO"/>
        </w:rPr>
        <w:t>IR. 1.3 A Sprijin pentru microîntreprinderi Apel 2</w:t>
      </w:r>
    </w:p>
    <w:p w14:paraId="17E5B239" w14:textId="77777777" w:rsidR="00047509" w:rsidRPr="006A689B" w:rsidRDefault="00047509" w:rsidP="001D39EE">
      <w:pPr>
        <w:pStyle w:val="Normal1"/>
        <w:spacing w:before="120" w:after="120"/>
        <w:ind w:left="720"/>
        <w:jc w:val="center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61F2E316" w14:textId="3202AC45" w:rsidR="00047509" w:rsidRDefault="00047509" w:rsidP="001D39EE">
      <w:pPr>
        <w:spacing w:before="120" w:after="120" w:line="240" w:lineRule="auto"/>
        <w:jc w:val="both"/>
        <w:rPr>
          <w:rFonts w:ascii="Montserrat" w:hAnsi="Montserrat" w:cs="Arial"/>
          <w:sz w:val="22"/>
          <w:szCs w:val="22"/>
        </w:rPr>
      </w:pPr>
      <w:r w:rsidRPr="006A689B">
        <w:rPr>
          <w:rFonts w:ascii="Montserrat" w:hAnsi="Montserrat" w:cs="Arial"/>
          <w:sz w:val="22"/>
          <w:szCs w:val="22"/>
        </w:rPr>
        <w:t xml:space="preserve">În cadrul prezentului ghid al solicitantului de finanțare </w:t>
      </w:r>
      <w:r w:rsidRPr="006A689B">
        <w:rPr>
          <w:rFonts w:ascii="Montserrat" w:hAnsi="Montserrat" w:cs="Arial"/>
          <w:b/>
          <w:bCs/>
          <w:sz w:val="22"/>
          <w:szCs w:val="22"/>
        </w:rPr>
        <w:t xml:space="preserve">nu se acordă sprijin financiar </w:t>
      </w:r>
      <w:r w:rsidRPr="006A689B">
        <w:rPr>
          <w:rFonts w:ascii="Montserrat" w:hAnsi="Montserrat" w:cs="Arial"/>
          <w:sz w:val="22"/>
          <w:szCs w:val="22"/>
        </w:rPr>
        <w:t>pentru activitățile realizate de microîntreprinderi care îşi desfăşoară activitatea în următoarele sectoare şi/sau care vizează următoarele ajutoare:</w:t>
      </w:r>
    </w:p>
    <w:tbl>
      <w:tblPr>
        <w:tblStyle w:val="TableGrid"/>
        <w:tblW w:w="0" w:type="auto"/>
        <w:tblInd w:w="-5" w:type="dxa"/>
        <w:tblBorders>
          <w:top w:val="single" w:sz="4" w:space="0" w:color="ED1C24"/>
          <w:left w:val="single" w:sz="4" w:space="0" w:color="ED1C24"/>
          <w:bottom w:val="single" w:sz="4" w:space="0" w:color="ED1C24"/>
          <w:right w:val="single" w:sz="4" w:space="0" w:color="ED1C24"/>
          <w:insideH w:val="single" w:sz="4" w:space="0" w:color="ED1C24"/>
          <w:insideV w:val="single" w:sz="4" w:space="0" w:color="ED1C24"/>
        </w:tblBorders>
        <w:tblLook w:val="04A0" w:firstRow="1" w:lastRow="0" w:firstColumn="1" w:lastColumn="0" w:noHBand="0" w:noVBand="1"/>
      </w:tblPr>
      <w:tblGrid>
        <w:gridCol w:w="9775"/>
      </w:tblGrid>
      <w:tr w:rsidR="006A689B" w:rsidRPr="007E72C1" w14:paraId="049293A1" w14:textId="77777777" w:rsidTr="002078B8">
        <w:tc>
          <w:tcPr>
            <w:tcW w:w="9775" w:type="dxa"/>
          </w:tcPr>
          <w:p w14:paraId="70DA5F9A" w14:textId="77777777" w:rsidR="006A689B" w:rsidRPr="007E72C1" w:rsidRDefault="006A689B" w:rsidP="001D39EE">
            <w:pPr>
              <w:pStyle w:val="ListParagraph"/>
              <w:numPr>
                <w:ilvl w:val="0"/>
                <w:numId w:val="1"/>
              </w:numPr>
              <w:spacing w:before="120" w:after="120"/>
              <w:ind w:left="743" w:hanging="562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(a) sectorul pescuitului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acvaculturii, astfel cum este reglementat de Regulamentul (UE) nr. 1379/2013 al Parlamentului European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al Consiliului din 11 decembrie 2013 privind organizarea comună a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pieţelor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în sectorul produselor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pescăreşti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de acvacultură, de modificare a Regulamentelor (CE) nr. 1184/ 2006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(CE) nr. 1224/ 2009 ale Consiliului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de abrogare a Regulamentului (CE) nr. 104/ 2000 al Consiliului, publicat în Jurnalul Oficial al Uniunii Europene L 354/28.12.2013;</w:t>
            </w:r>
          </w:p>
        </w:tc>
      </w:tr>
      <w:tr w:rsidR="006A689B" w:rsidRPr="007E72C1" w14:paraId="29D1C652" w14:textId="77777777" w:rsidTr="002078B8">
        <w:tc>
          <w:tcPr>
            <w:tcW w:w="9775" w:type="dxa"/>
          </w:tcPr>
          <w:p w14:paraId="0636448F" w14:textId="77777777" w:rsidR="006A689B" w:rsidRPr="007E72C1" w:rsidRDefault="006A689B" w:rsidP="001D39EE">
            <w:pPr>
              <w:pStyle w:val="ListParagraph"/>
              <w:numPr>
                <w:ilvl w:val="0"/>
                <w:numId w:val="1"/>
              </w:numPr>
              <w:spacing w:before="120" w:after="120"/>
              <w:ind w:left="748" w:hanging="567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(b) sectorul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producţiei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primare de produse agricole: sunt incluse toate codurile CAEN a căror activitate conduce la obținerea următoarelor produse, în conformitate cu Anexa 1 la articolul 38 din Tratatul privind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funcţionarea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Uniunii Europene:</w:t>
            </w:r>
          </w:p>
          <w:p w14:paraId="6AF0D6D9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Animale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vii;</w:t>
            </w:r>
          </w:p>
          <w:p w14:paraId="346F25D0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Carne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organe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comestibile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270A7475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Peşte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crustacee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moluşte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57226274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Lapte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produse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lactate,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ouă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păsări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;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miere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naturală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5D27CD96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Intestine,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vezici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stomacuri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animale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întregi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sau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tranşate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altele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decât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cele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peşte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5B06DE57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Produse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origine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animală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nedenumite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necuprinse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în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altă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parte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animale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moarte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din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capitolele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1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sau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3,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improprii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pentru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consumul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uman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318C8A32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Plante vii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produse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floricultură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779E6ACA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Legume,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plante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rădăcini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tuberculi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alimentari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1373C44B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Fructe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comestibile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;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coajă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agrume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pepene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galben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5B3E1CEE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Cafea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ceai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condimente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cu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excepţia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mate-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ului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(nr. 09.03);</w:t>
            </w:r>
          </w:p>
          <w:p w14:paraId="78E8AC53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sz w:val="22"/>
                <w:szCs w:val="22"/>
              </w:rPr>
              <w:t>Cereale;</w:t>
            </w:r>
          </w:p>
          <w:p w14:paraId="1127F281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Produse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ale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industriei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morăritului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;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malţ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;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amidoane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fecule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; gluten;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inulină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448EE633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Seminţe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fructe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oleaginoase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;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sâmburi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seminţe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grăunţe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fructe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diverse;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plante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industriale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medicinale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;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paie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furaje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39221A3B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Pectină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6C550BE5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lastRenderedPageBreak/>
              <w:t>Osânză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alte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grăsimi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porc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presate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sau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topite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;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grăsime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pasăre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presată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sau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topită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15B62E74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Seuri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(ale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speciilor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bovină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ovină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caprină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) brute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sau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topite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inclusiv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seurile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denumite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„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primul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suc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”;</w:t>
            </w:r>
          </w:p>
          <w:p w14:paraId="0920DF1A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Stearină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untură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: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oleostearină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ulei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osânză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oleomargarină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neemulsionată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fără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amestec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neprelucrată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4D1B9C72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Grăsimi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uleiuri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peşte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mamifere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marine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chiar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rafinate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374D9D80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Uleiuri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vegetale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stabile,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fluide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sau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solide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brute,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epurate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sau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rafinate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37A01A68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Grăsimi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uleiuri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animale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sau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vegetale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hidrogenate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chiar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rafinate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dar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nepreparate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1421D8A2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Margarină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înlocuitor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osânză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alte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grăsimi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alimentare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preparate;</w:t>
            </w:r>
          </w:p>
          <w:p w14:paraId="718071F3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Resturi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provenite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din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prelucrarea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grăsimilor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sau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din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ceară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animală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sau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vegetală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67A072D5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Preparate din carne,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peşte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crustacee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moluşte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11624374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Zahăr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din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sfeclă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din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trestie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în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stare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solidă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01C2661A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Alte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tipuri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zahăr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;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siropuri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;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înlocuitori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miere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chiar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amestecaţi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cu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miere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naturală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;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zahăr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melasă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caramelizate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19D3A653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Melasă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chiar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decolorată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67A07E71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Diverse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tipuri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zahăr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sirop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melasă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aromatizate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sau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cu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adaos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coloranţi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(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inclusiv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zahărul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vanilat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sau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vanilina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), cu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excepţia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sucurilor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fructe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cu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adaos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zahăr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în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orice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proporţie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131FA00D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Boabe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cacao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întregi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zdrobite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brute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sau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măcinate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3F4BD4E2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Coji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piele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pelicule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deșeuri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cacao;</w:t>
            </w:r>
          </w:p>
          <w:p w14:paraId="5B32CADA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Preparate din legume,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zarzavaturi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fructe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și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alte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plante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sau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părți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din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plante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469CE47D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Must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struguri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parţial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fermentați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chiar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dacă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fermentaţia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este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oprită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prin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alt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procedeu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decât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cu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ajutorul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alcoolului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0BF65A58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Vin din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struguri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proaspeţi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; must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struguri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proaspeţi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oprit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din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fermentaţie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(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inclusiv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mistelă</w:t>
            </w:r>
            <w:proofErr w:type="spellEnd"/>
            <w:proofErr w:type="gramStart"/>
            <w:r w:rsidRPr="007E72C1">
              <w:rPr>
                <w:rFonts w:ascii="Montserrat" w:hAnsi="Montserrat" w:cs="Arial"/>
                <w:sz w:val="22"/>
                <w:szCs w:val="22"/>
              </w:rPr>
              <w:t>) ;</w:t>
            </w:r>
            <w:proofErr w:type="gramEnd"/>
          </w:p>
          <w:p w14:paraId="04F487A9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Cidru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vin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pere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hidromel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și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alte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băuturi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fermentate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();</w:t>
            </w:r>
          </w:p>
          <w:p w14:paraId="34051FE2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Alcool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etilic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denaturat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sau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nu,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orice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tărie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obţinut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din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produse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agricole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prevăzute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în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anexa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I, cu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excepţia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rachiurilor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lichiorurilor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gramStart"/>
            <w:r w:rsidRPr="007E72C1">
              <w:rPr>
                <w:rFonts w:ascii="Montserrat" w:hAnsi="Montserrat" w:cs="Arial"/>
                <w:sz w:val="22"/>
                <w:szCs w:val="22"/>
              </w:rPr>
              <w:t>a</w:t>
            </w:r>
            <w:proofErr w:type="gram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altor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băuturi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spirtoase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preparate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alcoolice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compuse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(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numite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"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extrase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concentrate")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pentru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fabricarea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băuturilor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43A4F180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Oţeturi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comestibile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înlocuitori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comestibili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ai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acestora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29D19185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Resturi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deşeuri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din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industria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alimentară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;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alimente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preparate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pentru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animale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67C862DF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lastRenderedPageBreak/>
              <w:t>Tutun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brut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sau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nefabricat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;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deşeuri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tutun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0D85F0C3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Plută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naturală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brută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deşeuri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plută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;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plută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concasată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granulată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sau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praf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;</w:t>
            </w:r>
          </w:p>
          <w:p w14:paraId="667223F5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In brut,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dărăcit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scărmănat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pieptănat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sau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tratat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în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alt mod,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dar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netors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;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câlţi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deşeuri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(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inclusiv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scame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);</w:t>
            </w:r>
          </w:p>
          <w:p w14:paraId="43DA53E8" w14:textId="77777777" w:rsidR="006A689B" w:rsidRPr="007E72C1" w:rsidRDefault="006A689B" w:rsidP="001D39EE">
            <w:pPr>
              <w:pStyle w:val="NoSpacing"/>
              <w:numPr>
                <w:ilvl w:val="0"/>
                <w:numId w:val="3"/>
              </w:numPr>
              <w:spacing w:before="120" w:after="120"/>
              <w:ind w:left="1173" w:hanging="322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Cânepă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(Cannabis sativa)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brută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dărăcită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scărmănată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pieptănată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sau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tratată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în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alt mod,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dar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netoarsă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;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câlţi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deşeuri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(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inclusiv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sz w:val="22"/>
                <w:szCs w:val="22"/>
              </w:rPr>
              <w:t>scame</w:t>
            </w:r>
            <w:proofErr w:type="spellEnd"/>
            <w:r w:rsidRPr="007E72C1">
              <w:rPr>
                <w:rFonts w:ascii="Montserrat" w:hAnsi="Montserrat" w:cs="Arial"/>
                <w:sz w:val="22"/>
                <w:szCs w:val="22"/>
              </w:rPr>
              <w:t>);</w:t>
            </w:r>
          </w:p>
        </w:tc>
      </w:tr>
      <w:tr w:rsidR="006A689B" w:rsidRPr="007E72C1" w14:paraId="30560BC8" w14:textId="77777777" w:rsidTr="002078B8">
        <w:trPr>
          <w:trHeight w:val="2271"/>
        </w:trPr>
        <w:tc>
          <w:tcPr>
            <w:tcW w:w="9775" w:type="dxa"/>
          </w:tcPr>
          <w:p w14:paraId="6FB205DD" w14:textId="77777777" w:rsidR="006A689B" w:rsidRPr="007E72C1" w:rsidRDefault="006A689B" w:rsidP="001D39EE">
            <w:pPr>
              <w:pStyle w:val="ListParagraph"/>
              <w:numPr>
                <w:ilvl w:val="0"/>
                <w:numId w:val="1"/>
              </w:numPr>
              <w:spacing w:before="120" w:after="120"/>
              <w:ind w:left="742" w:hanging="567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lastRenderedPageBreak/>
              <w:t xml:space="preserve">(c) sectorul prelucrării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comercializării produselor agricole, în următoarele cazuri:</w:t>
            </w:r>
          </w:p>
          <w:p w14:paraId="1B97D378" w14:textId="77777777" w:rsidR="006A689B" w:rsidRPr="007E72C1" w:rsidRDefault="006A689B" w:rsidP="001D39EE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atunci când valoarea ajutoarelor este stabilită pe baza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preţului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sau a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cantităţii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unor astfel de produse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achiziţionate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de la producători primari sau introduse pe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piaţă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de întreprinderile respective;</w:t>
            </w:r>
          </w:p>
          <w:p w14:paraId="2A985087" w14:textId="77777777" w:rsidR="006A689B" w:rsidRPr="007E72C1" w:rsidRDefault="006A689B" w:rsidP="001D39EE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atunci când ajutoarele sunt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condiţionate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de transferarea lor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parţială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sau integrală către producătorii primari;</w:t>
            </w:r>
          </w:p>
        </w:tc>
      </w:tr>
      <w:tr w:rsidR="006A689B" w:rsidRPr="007E72C1" w14:paraId="032BCAF3" w14:textId="77777777" w:rsidTr="002078B8">
        <w:tc>
          <w:tcPr>
            <w:tcW w:w="9775" w:type="dxa"/>
          </w:tcPr>
          <w:p w14:paraId="700ECF18" w14:textId="77777777" w:rsidR="006A689B" w:rsidRPr="007E72C1" w:rsidRDefault="006A689B" w:rsidP="001D39EE">
            <w:pPr>
              <w:pStyle w:val="ListParagraph"/>
              <w:numPr>
                <w:ilvl w:val="0"/>
                <w:numId w:val="1"/>
              </w:numPr>
              <w:spacing w:before="120" w:after="120"/>
              <w:ind w:left="743" w:hanging="567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(d) ajutoare destinate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activităţilor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legate de export către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ţări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terţe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sau către alte state membre, respectiv ajutoare direct legate de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cantităţile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exportate, ajutoare destinate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înfiinţării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şi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funcţionării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unei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reţele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de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distribuţie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sau destinate altor cheltuieli curente legate de activitatea de export;</w:t>
            </w:r>
          </w:p>
        </w:tc>
      </w:tr>
      <w:tr w:rsidR="006A689B" w:rsidRPr="007E72C1" w14:paraId="504B4456" w14:textId="77777777" w:rsidTr="002078B8">
        <w:tc>
          <w:tcPr>
            <w:tcW w:w="9775" w:type="dxa"/>
          </w:tcPr>
          <w:p w14:paraId="4215903D" w14:textId="77777777" w:rsidR="006A689B" w:rsidRPr="007E72C1" w:rsidRDefault="006A689B" w:rsidP="001D39EE">
            <w:pPr>
              <w:pStyle w:val="ListParagraph"/>
              <w:numPr>
                <w:ilvl w:val="0"/>
                <w:numId w:val="1"/>
              </w:numPr>
              <w:spacing w:before="120" w:after="120"/>
              <w:ind w:left="743" w:hanging="567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(e) ajutoare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condiţionate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de utilizarea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preferenţială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a produselor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naţionale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faţă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de produsele importate;</w:t>
            </w:r>
          </w:p>
        </w:tc>
      </w:tr>
      <w:tr w:rsidR="006A689B" w:rsidRPr="007E72C1" w14:paraId="1D81E747" w14:textId="77777777" w:rsidTr="002078B8">
        <w:tc>
          <w:tcPr>
            <w:tcW w:w="9775" w:type="dxa"/>
          </w:tcPr>
          <w:p w14:paraId="72896F5B" w14:textId="77777777" w:rsidR="006A689B" w:rsidRPr="007E72C1" w:rsidRDefault="006A689B" w:rsidP="001D39EE">
            <w:pPr>
              <w:pStyle w:val="ListParagraph"/>
              <w:numPr>
                <w:ilvl w:val="0"/>
                <w:numId w:val="1"/>
              </w:numPr>
              <w:spacing w:before="120" w:after="120"/>
              <w:ind w:left="743" w:hanging="567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(f) ajutoarelor acordate pentru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achizitia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de vehicule de transport rutier de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marfuri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;</w:t>
            </w:r>
          </w:p>
        </w:tc>
      </w:tr>
      <w:tr w:rsidR="006A689B" w:rsidRPr="007E72C1" w14:paraId="57AB8437" w14:textId="77777777" w:rsidTr="002078B8">
        <w:tc>
          <w:tcPr>
            <w:tcW w:w="9775" w:type="dxa"/>
          </w:tcPr>
          <w:p w14:paraId="1B9253F4" w14:textId="77777777" w:rsidR="006A689B" w:rsidRPr="007E72C1" w:rsidRDefault="006A689B" w:rsidP="001D39EE">
            <w:pPr>
              <w:pStyle w:val="ListParagraph"/>
              <w:numPr>
                <w:ilvl w:val="0"/>
                <w:numId w:val="1"/>
              </w:numPr>
              <w:spacing w:before="120" w:after="120"/>
              <w:ind w:left="743" w:hanging="567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(g) ajutoare pentru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activitati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cu produse cu caracter erotic sau obscen, jocuri de noroc, precum si cele care contravin bunelor moravuri, ordinii publice si/sau prevederilor legale in vigoare; </w:t>
            </w:r>
          </w:p>
        </w:tc>
      </w:tr>
      <w:tr w:rsidR="006A689B" w:rsidRPr="007E72C1" w14:paraId="09075ECE" w14:textId="77777777" w:rsidTr="002078B8">
        <w:tc>
          <w:tcPr>
            <w:tcW w:w="9775" w:type="dxa"/>
          </w:tcPr>
          <w:p w14:paraId="69FC243E" w14:textId="77777777" w:rsidR="006A689B" w:rsidRPr="007E72C1" w:rsidRDefault="006A689B" w:rsidP="001D39EE">
            <w:pPr>
              <w:pStyle w:val="ListParagraph"/>
              <w:numPr>
                <w:ilvl w:val="0"/>
                <w:numId w:val="1"/>
              </w:numPr>
              <w:spacing w:before="120" w:after="120"/>
              <w:ind w:left="743" w:hanging="567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(h) ajutoare pentru activitățile de astrologie și spiritism, inclusiv on-line, servicii personale de tipul: servicii de escortă, servicii de stabilire a întâlnirilor, servicii ale agențiilor matrimoniale, video chat on-line pentru consiliere matrimonială și psihologică;</w:t>
            </w:r>
          </w:p>
        </w:tc>
      </w:tr>
      <w:tr w:rsidR="006A689B" w:rsidRPr="007E72C1" w14:paraId="1A99A8CE" w14:textId="77777777" w:rsidTr="002078B8">
        <w:tc>
          <w:tcPr>
            <w:tcW w:w="9775" w:type="dxa"/>
          </w:tcPr>
          <w:p w14:paraId="7ACCB71C" w14:textId="77777777" w:rsidR="006A689B" w:rsidRPr="007E72C1" w:rsidRDefault="006A689B" w:rsidP="001D39EE">
            <w:pPr>
              <w:pStyle w:val="ListParagraph"/>
              <w:numPr>
                <w:ilvl w:val="0"/>
                <w:numId w:val="1"/>
              </w:numPr>
              <w:spacing w:before="120" w:after="120"/>
              <w:ind w:left="743" w:hanging="567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(i)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activităţi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de jocuri de noroc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şi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pariuri,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producţie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sau comercializare de armament,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muniţii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, explozibili, tutun, alcool, produse energetice definite potrivit Legii nr. 571/2003 privind Codul fiscal, cu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modificarile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şi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completările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ulterioare,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substanţe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aflate sub control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naţional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, plante,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substanţe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şi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preparate stupefiante </w:t>
            </w:r>
            <w:proofErr w:type="spellStart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şi</w:t>
            </w:r>
            <w:proofErr w:type="spellEnd"/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psihotrope;</w:t>
            </w:r>
          </w:p>
        </w:tc>
      </w:tr>
      <w:tr w:rsidR="006A689B" w:rsidRPr="007E72C1" w14:paraId="215C11A9" w14:textId="77777777" w:rsidTr="002078B8">
        <w:tc>
          <w:tcPr>
            <w:tcW w:w="9775" w:type="dxa"/>
          </w:tcPr>
          <w:p w14:paraId="13EDB597" w14:textId="77777777" w:rsidR="006A689B" w:rsidRPr="007E72C1" w:rsidRDefault="006A689B" w:rsidP="001D39EE">
            <w:pPr>
              <w:pStyle w:val="ListParagraph"/>
              <w:numPr>
                <w:ilvl w:val="0"/>
                <w:numId w:val="1"/>
              </w:numPr>
              <w:spacing w:before="120" w:after="120"/>
              <w:ind w:left="743" w:hanging="567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lastRenderedPageBreak/>
              <w:t>(j) activități privind facilitarea închiderii minelor de cărbune necompetitive, astfel cum sunt reglementate de Decizia nr. 787/2010 a Consiliului;</w:t>
            </w:r>
          </w:p>
        </w:tc>
      </w:tr>
      <w:tr w:rsidR="006A689B" w:rsidRPr="007E72C1" w14:paraId="7AD1C8F7" w14:textId="77777777" w:rsidTr="002078B8">
        <w:tc>
          <w:tcPr>
            <w:tcW w:w="9775" w:type="dxa"/>
          </w:tcPr>
          <w:p w14:paraId="641E55E3" w14:textId="77777777" w:rsidR="006A689B" w:rsidRPr="007E72C1" w:rsidRDefault="006A689B" w:rsidP="001D39EE">
            <w:pPr>
              <w:pStyle w:val="ListParagraph"/>
              <w:numPr>
                <w:ilvl w:val="0"/>
                <w:numId w:val="1"/>
              </w:numPr>
              <w:spacing w:before="120" w:after="120"/>
              <w:ind w:left="743" w:hanging="567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7E72C1">
              <w:rPr>
                <w:rFonts w:ascii="Montserrat" w:hAnsi="Montserrat" w:cs="Arial"/>
                <w:color w:val="27344C"/>
                <w:sz w:val="22"/>
                <w:szCs w:val="22"/>
              </w:rPr>
              <w:t>(k) activități în sectorul siderurgic, sectorul cărbunelui, sectorul construcțiilor navale, sectorul fibrelor sintetice, sectorul transporturilor și al infrastructurii conexe, sectorul producerii și distribuției de energie și al infrastructurii pentru aceasta.</w:t>
            </w:r>
          </w:p>
        </w:tc>
      </w:tr>
      <w:tr w:rsidR="002078B8" w:rsidRPr="007E72C1" w14:paraId="4915350F" w14:textId="77777777" w:rsidTr="002078B8">
        <w:tc>
          <w:tcPr>
            <w:tcW w:w="9775" w:type="dxa"/>
          </w:tcPr>
          <w:p w14:paraId="2C656660" w14:textId="77777777" w:rsidR="002078B8" w:rsidRPr="007E72C1" w:rsidRDefault="002078B8" w:rsidP="001D39EE">
            <w:pPr>
              <w:pStyle w:val="ListParagraph"/>
              <w:numPr>
                <w:ilvl w:val="0"/>
                <w:numId w:val="1"/>
              </w:numPr>
              <w:spacing w:before="120" w:after="120"/>
              <w:ind w:left="743" w:hanging="567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976DCE">
              <w:rPr>
                <w:rFonts w:ascii="Montserrat" w:hAnsi="Montserrat" w:cs="Arial"/>
                <w:color w:val="27344C"/>
                <w:sz w:val="22"/>
                <w:szCs w:val="22"/>
              </w:rPr>
              <w:t>(l)</w:t>
            </w:r>
            <w:r w:rsidRPr="00976DCE">
              <w:rPr>
                <w:rFonts w:ascii="Montserrat" w:hAnsi="Montserrat" w:cs="Arial"/>
                <w:color w:val="27344C"/>
                <w:sz w:val="22"/>
                <w:szCs w:val="22"/>
              </w:rPr>
              <w:tab/>
              <w:t>activitățile din domeniul financiar și de asigurări</w:t>
            </w:r>
          </w:p>
        </w:tc>
      </w:tr>
    </w:tbl>
    <w:p w14:paraId="5FD497E0" w14:textId="7F88DFBD" w:rsidR="006A689B" w:rsidRPr="007E72C1" w:rsidRDefault="006A689B" w:rsidP="001D39EE">
      <w:pPr>
        <w:pStyle w:val="Heading1"/>
        <w:spacing w:before="120" w:after="120"/>
        <w:jc w:val="both"/>
        <w:rPr>
          <w:rFonts w:ascii="Montserrat" w:hAnsi="Montserrat"/>
          <w:b w:val="0"/>
          <w:bCs/>
          <w:sz w:val="22"/>
          <w:szCs w:val="22"/>
          <w:lang w:eastAsia="en-GB"/>
        </w:rPr>
      </w:pPr>
      <w:r w:rsidRPr="007E72C1">
        <w:rPr>
          <w:rFonts w:ascii="Montserrat" w:hAnsi="Montserrat" w:cs="Arial"/>
          <w:b w:val="0"/>
          <w:bCs/>
          <w:sz w:val="22"/>
          <w:szCs w:val="22"/>
        </w:rPr>
        <w:t>În cazul în care o microîntreprindere își desfășoară activitatea atât în sectoarele menționate la literele (a), (b) sau (c), cât și în unul sau mai multe sectoare sau</w:t>
      </w:r>
      <w:r w:rsidRPr="007E72C1">
        <w:rPr>
          <w:rFonts w:ascii="Montserrat" w:hAnsi="Montserrat" w:cs="Arial"/>
          <w:b w:val="0"/>
          <w:bCs/>
          <w:sz w:val="22"/>
          <w:szCs w:val="22"/>
          <w:lang w:val="ro-RO"/>
        </w:rPr>
        <w:t xml:space="preserve"> domenii de activitate incluse în domeniul de aplicare al Regulamentului (UE) nr. 1407/2013 privind aplicarea articolelor 107 și 108 din Tratatul privind </w:t>
      </w:r>
      <w:proofErr w:type="spellStart"/>
      <w:r w:rsidRPr="007E72C1">
        <w:rPr>
          <w:rFonts w:ascii="Montserrat" w:hAnsi="Montserrat" w:cs="Arial"/>
          <w:b w:val="0"/>
          <w:bCs/>
          <w:sz w:val="22"/>
          <w:szCs w:val="22"/>
          <w:lang w:val="ro-RO"/>
        </w:rPr>
        <w:t>funcţionarea</w:t>
      </w:r>
      <w:proofErr w:type="spellEnd"/>
      <w:r w:rsidRPr="007E72C1">
        <w:rPr>
          <w:rFonts w:ascii="Montserrat" w:hAnsi="Montserrat" w:cs="Arial"/>
          <w:b w:val="0"/>
          <w:bCs/>
          <w:sz w:val="22"/>
          <w:szCs w:val="22"/>
          <w:lang w:val="ro-RO"/>
        </w:rPr>
        <w:t xml:space="preserve"> Uniunii Europene ajutoarelor de </w:t>
      </w:r>
      <w:proofErr w:type="spellStart"/>
      <w:r w:rsidRPr="007E72C1">
        <w:rPr>
          <w:rFonts w:ascii="Montserrat" w:hAnsi="Montserrat" w:cs="Arial"/>
          <w:b w:val="0"/>
          <w:bCs/>
          <w:sz w:val="22"/>
          <w:szCs w:val="22"/>
          <w:lang w:val="ro-RO"/>
        </w:rPr>
        <w:t>minimis</w:t>
      </w:r>
      <w:proofErr w:type="spellEnd"/>
      <w:r w:rsidRPr="007E72C1">
        <w:rPr>
          <w:rFonts w:ascii="Montserrat" w:hAnsi="Montserrat" w:cs="Arial"/>
          <w:b w:val="0"/>
          <w:bCs/>
          <w:sz w:val="22"/>
          <w:szCs w:val="22"/>
        </w:rPr>
        <w:t xml:space="preserve">, prevederile </w:t>
      </w:r>
      <w:r w:rsidRPr="007E72C1">
        <w:rPr>
          <w:rFonts w:ascii="Montserrat" w:hAnsi="Montserrat" w:cs="Arial"/>
          <w:b w:val="0"/>
          <w:bCs/>
          <w:sz w:val="22"/>
          <w:szCs w:val="22"/>
          <w:lang w:val="ro-RO"/>
        </w:rPr>
        <w:t xml:space="preserve">Regulamentului (UE) nr. 1407/2013 </w:t>
      </w:r>
      <w:r w:rsidRPr="007E72C1">
        <w:rPr>
          <w:rFonts w:ascii="Montserrat" w:hAnsi="Montserrat" w:cs="Arial"/>
          <w:b w:val="0"/>
          <w:bCs/>
          <w:sz w:val="22"/>
          <w:szCs w:val="22"/>
        </w:rPr>
        <w:t xml:space="preserve">se aplică ajutoarelor acordate pentru sectoarele sau activitățile eligibile, cu condiția ca beneficiarul să se asigure, prin mijloace corespunzătoare, precum separarea activităților sau o distincție între costuri, că activitățile desfășurate în sectoarele excluse din domeniul de aplicare al </w:t>
      </w:r>
      <w:r w:rsidRPr="007E72C1">
        <w:rPr>
          <w:rFonts w:ascii="Montserrat" w:hAnsi="Montserrat" w:cs="Arial"/>
          <w:b w:val="0"/>
          <w:bCs/>
          <w:sz w:val="22"/>
          <w:szCs w:val="22"/>
          <w:lang w:val="ro-RO"/>
        </w:rPr>
        <w:t xml:space="preserve">Regulamentului (UE) nr. 1407/2013 </w:t>
      </w:r>
      <w:r w:rsidRPr="007E72C1">
        <w:rPr>
          <w:rFonts w:ascii="Montserrat" w:hAnsi="Montserrat" w:cs="Arial"/>
          <w:b w:val="0"/>
          <w:bCs/>
          <w:sz w:val="22"/>
          <w:szCs w:val="22"/>
        </w:rPr>
        <w:t xml:space="preserve">nu beneficiază de ajutoare de minimis acordate în conformitate cu </w:t>
      </w:r>
      <w:r w:rsidRPr="007E72C1">
        <w:rPr>
          <w:rFonts w:ascii="Montserrat" w:hAnsi="Montserrat" w:cs="Arial"/>
          <w:b w:val="0"/>
          <w:bCs/>
          <w:sz w:val="22"/>
          <w:szCs w:val="22"/>
          <w:lang w:val="ro-RO"/>
        </w:rPr>
        <w:t>sus-numitul regulament</w:t>
      </w:r>
      <w:r w:rsidRPr="007E72C1">
        <w:rPr>
          <w:rFonts w:ascii="Montserrat" w:hAnsi="Montserrat" w:cs="Arial"/>
          <w:b w:val="0"/>
          <w:bCs/>
          <w:sz w:val="22"/>
          <w:szCs w:val="22"/>
        </w:rPr>
        <w:t>.</w:t>
      </w:r>
    </w:p>
    <w:p w14:paraId="2B7702A8" w14:textId="77777777" w:rsidR="00047509" w:rsidRPr="006A689B" w:rsidRDefault="00047509" w:rsidP="001D39EE">
      <w:pPr>
        <w:spacing w:before="120" w:after="120" w:line="240" w:lineRule="auto"/>
        <w:jc w:val="both"/>
        <w:rPr>
          <w:rFonts w:ascii="Montserrat" w:hAnsi="Montserrat" w:cs="Arial"/>
          <w:sz w:val="22"/>
          <w:szCs w:val="22"/>
        </w:rPr>
      </w:pPr>
    </w:p>
    <w:p w14:paraId="3F526AAB" w14:textId="0FADAE37" w:rsidR="004240C5" w:rsidRPr="006A689B" w:rsidRDefault="004240C5" w:rsidP="001D39EE">
      <w:pPr>
        <w:pStyle w:val="Heading1"/>
        <w:spacing w:before="120" w:after="120"/>
        <w:jc w:val="both"/>
        <w:rPr>
          <w:rFonts w:ascii="Montserrat" w:hAnsi="Montserrat"/>
          <w:sz w:val="22"/>
          <w:szCs w:val="22"/>
          <w:lang w:eastAsia="en-GB"/>
        </w:rPr>
      </w:pPr>
    </w:p>
    <w:sectPr w:rsidR="004240C5" w:rsidRPr="006A689B" w:rsidSect="000A0DD5">
      <w:headerReference w:type="default" r:id="rId8"/>
      <w:footerReference w:type="even" r:id="rId9"/>
      <w:footerReference w:type="default" r:id="rId10"/>
      <w:pgSz w:w="11906" w:h="16838"/>
      <w:pgMar w:top="2053" w:right="1134" w:bottom="2053" w:left="992" w:header="709" w:footer="44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36473" w14:textId="77777777" w:rsidR="007B2485" w:rsidRDefault="007B2485" w:rsidP="00ED68A0">
      <w:pPr>
        <w:spacing w:line="240" w:lineRule="auto"/>
      </w:pPr>
      <w:r>
        <w:separator/>
      </w:r>
    </w:p>
  </w:endnote>
  <w:endnote w:type="continuationSeparator" w:id="0">
    <w:p w14:paraId="77607DC9" w14:textId="77777777" w:rsidR="007B2485" w:rsidRDefault="007B2485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55408683"/>
      <w:docPartObj>
        <w:docPartGallery w:val="Page Numbers (Bottom of Page)"/>
        <w:docPartUnique/>
      </w:docPartObj>
    </w:sdtPr>
    <w:sdtContent>
      <w:p w14:paraId="7D32C77B" w14:textId="6EEDDE0D" w:rsidR="009D0B64" w:rsidRDefault="009D0B64" w:rsidP="000C2E6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6E9FA2BB" w14:textId="77777777" w:rsidR="009D0B64" w:rsidRDefault="009D0B64" w:rsidP="009D0B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77406552"/>
      <w:docPartObj>
        <w:docPartGallery w:val="Page Numbers (Bottom of Page)"/>
        <w:docPartUnique/>
      </w:docPartObj>
    </w:sdtPr>
    <w:sdtContent>
      <w:p w14:paraId="032E00B6" w14:textId="77777777" w:rsidR="003B7568" w:rsidRDefault="003B7568" w:rsidP="00852B84">
        <w:pPr>
          <w:pStyle w:val="Footer"/>
          <w:framePr w:w="160" w:wrap="none" w:vAnchor="text" w:hAnchor="page" w:x="9407" w:y="263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7E52F56B" w14:textId="335044E5" w:rsidR="00ED68A0" w:rsidRPr="008F6C3C" w:rsidRDefault="00852B84" w:rsidP="009D0B64">
    <w:pPr>
      <w:pStyle w:val="Footer"/>
      <w:tabs>
        <w:tab w:val="clear" w:pos="4513"/>
        <w:tab w:val="clear" w:pos="9026"/>
        <w:tab w:val="left" w:pos="3453"/>
        <w:tab w:val="center" w:pos="4890"/>
      </w:tabs>
      <w:ind w:right="360"/>
      <w:rPr>
        <w:lang w:val="en-US"/>
      </w:rPr>
    </w:pPr>
    <w:r>
      <w:rPr>
        <w:noProof/>
        <w:lang w:val="en-US"/>
      </w:rPr>
      <w:drawing>
        <wp:inline distT="0" distB="0" distL="0" distR="0" wp14:anchorId="296FE494" wp14:editId="2D408706">
          <wp:extent cx="6578600" cy="873125"/>
          <wp:effectExtent l="0" t="0" r="0" b="3175"/>
          <wp:docPr id="80789639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7896390" name="Picture 8078963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8600" cy="87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88786" w14:textId="77777777" w:rsidR="007B2485" w:rsidRDefault="007B2485" w:rsidP="00ED68A0">
      <w:pPr>
        <w:spacing w:line="240" w:lineRule="auto"/>
      </w:pPr>
      <w:r>
        <w:separator/>
      </w:r>
    </w:p>
  </w:footnote>
  <w:footnote w:type="continuationSeparator" w:id="0">
    <w:p w14:paraId="1A8F9FC8" w14:textId="77777777" w:rsidR="007B2485" w:rsidRDefault="007B2485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396CCA03" w:rsidR="00ED68A0" w:rsidRDefault="00852B8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D8EAC29" wp14:editId="056F56E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0079" cy="3688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D264A"/>
    <w:multiLevelType w:val="hybridMultilevel"/>
    <w:tmpl w:val="4CBE8CE6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414B24EC"/>
    <w:multiLevelType w:val="hybridMultilevel"/>
    <w:tmpl w:val="48C64A8E"/>
    <w:lvl w:ilvl="0" w:tplc="0409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2" w15:restartNumberingAfterBreak="0">
    <w:nsid w:val="53D72EB8"/>
    <w:multiLevelType w:val="hybridMultilevel"/>
    <w:tmpl w:val="D2E41546"/>
    <w:lvl w:ilvl="0" w:tplc="68CCD5EA">
      <w:start w:val="1"/>
      <w:numFmt w:val="bullet"/>
      <w:lvlText w:val=""/>
      <w:lvlJc w:val="left"/>
      <w:pPr>
        <w:ind w:left="720" w:hanging="360"/>
      </w:pPr>
      <w:rPr>
        <w:rFonts w:ascii="Symbol" w:hAnsi="Symbol" w:hint="default"/>
        <w:b/>
        <w:bCs/>
        <w:color w:val="ED1C24"/>
        <w:sz w:val="40"/>
        <w:szCs w:val="40"/>
      </w:rPr>
    </w:lvl>
    <w:lvl w:ilvl="1" w:tplc="080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num w:numId="1" w16cid:durableId="352414600">
    <w:abstractNumId w:val="2"/>
  </w:num>
  <w:num w:numId="2" w16cid:durableId="433280694">
    <w:abstractNumId w:val="1"/>
  </w:num>
  <w:num w:numId="3" w16cid:durableId="1173913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516E"/>
    <w:rsid w:val="00023791"/>
    <w:rsid w:val="00032F63"/>
    <w:rsid w:val="00047509"/>
    <w:rsid w:val="00050BD0"/>
    <w:rsid w:val="000555F3"/>
    <w:rsid w:val="00063099"/>
    <w:rsid w:val="000A0DD5"/>
    <w:rsid w:val="000A78E2"/>
    <w:rsid w:val="000C2E66"/>
    <w:rsid w:val="000D4A59"/>
    <w:rsid w:val="000E5400"/>
    <w:rsid w:val="0013059A"/>
    <w:rsid w:val="00136DA3"/>
    <w:rsid w:val="00175F74"/>
    <w:rsid w:val="00183775"/>
    <w:rsid w:val="00192345"/>
    <w:rsid w:val="001B0ED1"/>
    <w:rsid w:val="001C3333"/>
    <w:rsid w:val="001D3811"/>
    <w:rsid w:val="001D39EE"/>
    <w:rsid w:val="001E3367"/>
    <w:rsid w:val="002078B8"/>
    <w:rsid w:val="00244C36"/>
    <w:rsid w:val="00266179"/>
    <w:rsid w:val="00272F9E"/>
    <w:rsid w:val="00344045"/>
    <w:rsid w:val="00360AAE"/>
    <w:rsid w:val="00363AD9"/>
    <w:rsid w:val="003A79F1"/>
    <w:rsid w:val="003B7568"/>
    <w:rsid w:val="003C08FD"/>
    <w:rsid w:val="004240C5"/>
    <w:rsid w:val="004461E7"/>
    <w:rsid w:val="00470848"/>
    <w:rsid w:val="004855F3"/>
    <w:rsid w:val="0049368B"/>
    <w:rsid w:val="004C6581"/>
    <w:rsid w:val="00502372"/>
    <w:rsid w:val="005202D7"/>
    <w:rsid w:val="00574E84"/>
    <w:rsid w:val="005A31A5"/>
    <w:rsid w:val="005F5051"/>
    <w:rsid w:val="006060F2"/>
    <w:rsid w:val="0061531B"/>
    <w:rsid w:val="0062345F"/>
    <w:rsid w:val="006A0279"/>
    <w:rsid w:val="006A689B"/>
    <w:rsid w:val="006B32B6"/>
    <w:rsid w:val="006B51B0"/>
    <w:rsid w:val="00743DA9"/>
    <w:rsid w:val="0077617C"/>
    <w:rsid w:val="007A4EF5"/>
    <w:rsid w:val="007A513E"/>
    <w:rsid w:val="007B2485"/>
    <w:rsid w:val="007E5C0E"/>
    <w:rsid w:val="00813CF3"/>
    <w:rsid w:val="00832128"/>
    <w:rsid w:val="00851AB7"/>
    <w:rsid w:val="00852B84"/>
    <w:rsid w:val="00892E9F"/>
    <w:rsid w:val="008946FC"/>
    <w:rsid w:val="008B3AA4"/>
    <w:rsid w:val="008E5C06"/>
    <w:rsid w:val="008F6C3C"/>
    <w:rsid w:val="0094089A"/>
    <w:rsid w:val="00944876"/>
    <w:rsid w:val="00945A1B"/>
    <w:rsid w:val="0095176D"/>
    <w:rsid w:val="009D0B64"/>
    <w:rsid w:val="009D4510"/>
    <w:rsid w:val="009F3203"/>
    <w:rsid w:val="00A8222F"/>
    <w:rsid w:val="00AB2B93"/>
    <w:rsid w:val="00AE6EA7"/>
    <w:rsid w:val="00B06C73"/>
    <w:rsid w:val="00B27DE0"/>
    <w:rsid w:val="00B52B10"/>
    <w:rsid w:val="00B55AE4"/>
    <w:rsid w:val="00BE6E1C"/>
    <w:rsid w:val="00BF4E0B"/>
    <w:rsid w:val="00C22F1C"/>
    <w:rsid w:val="00C279F6"/>
    <w:rsid w:val="00C5702B"/>
    <w:rsid w:val="00CF760B"/>
    <w:rsid w:val="00D1046D"/>
    <w:rsid w:val="00DC006D"/>
    <w:rsid w:val="00DD7690"/>
    <w:rsid w:val="00E11E02"/>
    <w:rsid w:val="00E4094D"/>
    <w:rsid w:val="00E63962"/>
    <w:rsid w:val="00E86685"/>
    <w:rsid w:val="00E938FF"/>
    <w:rsid w:val="00ED68A0"/>
    <w:rsid w:val="00EF34ED"/>
    <w:rsid w:val="00F05889"/>
    <w:rsid w:val="00F13662"/>
    <w:rsid w:val="00F37C7F"/>
    <w:rsid w:val="00F43A94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Normal1">
    <w:name w:val="Normal1"/>
    <w:basedOn w:val="Normal"/>
    <w:rsid w:val="00047509"/>
    <w:pPr>
      <w:spacing w:before="60" w:after="60" w:line="240" w:lineRule="auto"/>
      <w:jc w:val="both"/>
    </w:pPr>
    <w:rPr>
      <w:rFonts w:ascii="Trebuchet MS" w:eastAsia="Times New Roman" w:hAnsi="Trebuchet MS" w:cs="Times New Roman"/>
      <w:color w:val="auto"/>
      <w:sz w:val="20"/>
      <w:lang w:val="ro-RO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047509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color w:val="auto"/>
      <w:szCs w:val="20"/>
      <w:lang w:val="ro-RO"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047509"/>
    <w:rPr>
      <w:rFonts w:ascii="Times New Roman" w:eastAsia="Times New Roman" w:hAnsi="Times New Roman" w:cs="Times New Roman"/>
      <w:szCs w:val="20"/>
      <w:lang w:val="ro-RO" w:eastAsia="ro-RO"/>
    </w:rPr>
  </w:style>
  <w:style w:type="table" w:styleId="TableGrid">
    <w:name w:val="Table Grid"/>
    <w:basedOn w:val="TableNormal"/>
    <w:rsid w:val="00047509"/>
    <w:rPr>
      <w:rFonts w:ascii="Times New Roman" w:eastAsia="Times New Roman" w:hAnsi="Times New Roman" w:cs="Times New Roman"/>
      <w:sz w:val="20"/>
      <w:szCs w:val="20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9D0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8D70D0F-995C-7748-8321-23F4E09EB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Daniela Lupascu</cp:lastModifiedBy>
  <cp:revision>13</cp:revision>
  <cp:lastPrinted>2022-10-03T11:22:00Z</cp:lastPrinted>
  <dcterms:created xsi:type="dcterms:W3CDTF">2022-12-28T18:04:00Z</dcterms:created>
  <dcterms:modified xsi:type="dcterms:W3CDTF">2023-10-17T10:41:00Z</dcterms:modified>
</cp:coreProperties>
</file>